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스마트팜 사업계획 초안 템플릿</w:t>
      </w:r>
    </w:p>
    <w:p>
      <w:r>
        <w:t>버전: v0.1  |  작성자: ____________  |  작성일: ____________</w:t>
      </w:r>
    </w:p>
    <w:p>
      <w:r>
        <w:rPr>
          <w:i/>
          <w:color w:val="808080"/>
          <w:sz w:val="18"/>
        </w:rPr>
        <w:t>▸ 회색 기울임 안내문은 작성 가이드다. 내용을 채운 뒤 지운다. 모르는 값은 추정하지 말고 '확인 필요'로 적는다.</w:t>
      </w:r>
    </w:p>
    <w:p>
      <w:pPr>
        <w:pStyle w:val="Heading1"/>
      </w:pPr>
      <w:r>
        <w:t>1. 한 줄 요약(엘리베이터 피치)</w:t>
      </w:r>
    </w:p>
    <w:p>
      <w:r>
        <w:rPr>
          <w:i/>
          <w:color w:val="808080"/>
          <w:sz w:val="18"/>
        </w:rPr>
        <w:t>▸ 누구의 어떤 문제를, 무엇으로, 어떻게 돈을 받으며 해결하는지 한 문장으로. 예) 청년농·소농의 원격 모니터링·이상감지 부재를, 산업설비 수준의 알람과 로컬 엣지 AI를 갖춘 센서·관제 플랫폼(하드웨어+구독)으로 해결한다.</w:t>
      </w:r>
    </w:p>
    <w:p/>
    <w:p>
      <w:pPr>
        <w:pStyle w:val="Heading1"/>
      </w:pPr>
      <w:r>
        <w:t>2. 문제 정의</w:t>
      </w:r>
    </w:p>
    <w:p>
      <w:r>
        <w:rPr>
          <w:i/>
          <w:color w:val="808080"/>
          <w:sz w:val="18"/>
        </w:rPr>
        <w:t>▸ 고객이 실제로 겪는 순간을 적는다. 통계는 출처와 기준연도를 함께.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b/>
              </w:rPr>
              <w:t>지표</w:t>
            </w:r>
          </w:p>
        </w:tc>
        <w:tc>
          <w:tcPr>
            <w:tcW w:type="dxa" w:w="3213"/>
          </w:tcPr>
          <w:p>
            <w:r>
              <w:rPr>
                <w:b/>
              </w:rPr>
              <w:t>수치</w:t>
            </w:r>
          </w:p>
        </w:tc>
        <w:tc>
          <w:tcPr>
            <w:tcW w:type="dxa" w:w="3213"/>
          </w:tcPr>
          <w:p>
            <w:r>
              <w:rPr>
                <w:b/>
              </w:rPr>
              <w:t>출처·기준연도</w:t>
            </w:r>
          </w:p>
        </w:tc>
      </w:tr>
      <w:tr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</w:tr>
      <w:tr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</w:tr>
      <w:tr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</w:tr>
    </w:tbl>
    <w:p/>
    <w:p>
      <w:pPr>
        <w:pStyle w:val="Heading1"/>
      </w:pPr>
      <w:r>
        <w:t>3. 해결책과 차별점</w:t>
      </w:r>
    </w:p>
    <w:p>
      <w:r>
        <w:rPr>
          <w:i/>
          <w:color w:val="808080"/>
          <w:sz w:val="18"/>
        </w:rPr>
        <w:t>▸ 기능 나열이 아니라 '경쟁 제품의 기본값 대비 무엇이 다른가'를 적는다.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b/>
              </w:rPr>
              <w:t>경쟁 제품 기본값</w:t>
            </w:r>
          </w:p>
        </w:tc>
        <w:tc>
          <w:tcPr>
            <w:tcW w:type="dxa" w:w="3213"/>
          </w:tcPr>
          <w:p>
            <w:r>
              <w:rPr>
                <w:b/>
              </w:rPr>
              <w:t>우리 방식</w:t>
            </w:r>
          </w:p>
        </w:tc>
        <w:tc>
          <w:tcPr>
            <w:tcW w:type="dxa" w:w="3213"/>
          </w:tcPr>
          <w:p>
            <w:r>
              <w:rPr>
                <w:b/>
              </w:rPr>
              <w:t>고객이 얻는 것</w:t>
            </w:r>
          </w:p>
        </w:tc>
      </w:tr>
      <w:tr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</w:tr>
      <w:tr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</w:tr>
    </w:tbl>
    <w:p/>
    <w:p>
      <w:pPr>
        <w:pStyle w:val="Heading1"/>
      </w:pPr>
      <w:r>
        <w:t>4. 시장과 고객</w:t>
      </w:r>
    </w:p>
    <w:p>
      <w:r>
        <w:rPr>
          <w:i/>
          <w:color w:val="808080"/>
          <w:sz w:val="18"/>
        </w:rPr>
        <w:t>▸ 채널 매트릭스(B2B·B2C·C2C × 하드웨어·작물) 판정 결과와 1차 고객군 규모.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b/>
              </w:rPr>
              <w:t>조합</w:t>
            </w:r>
          </w:p>
        </w:tc>
        <w:tc>
          <w:tcPr>
            <w:tcW w:type="dxa" w:w="3213"/>
          </w:tcPr>
          <w:p>
            <w:r>
              <w:rPr>
                <w:b/>
              </w:rPr>
              <w:t>정의</w:t>
            </w:r>
          </w:p>
        </w:tc>
        <w:tc>
          <w:tcPr>
            <w:tcW w:type="dxa" w:w="3213"/>
          </w:tcPr>
          <w:p>
            <w:r>
              <w:rPr>
                <w:b/>
              </w:rPr>
              <w:t>판정</w:t>
            </w:r>
          </w:p>
        </w:tc>
      </w:tr>
      <w:tr>
        <w:tc>
          <w:tcPr>
            <w:tcW w:type="dxa" w:w="3213"/>
          </w:tcPr>
          <w:p>
            <w:r>
              <w:t>b1 B2C×하드웨어</w:t>
            </w:r>
          </w:p>
        </w:tc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>
              <w:t>핵심/확장/제외</w:t>
            </w:r>
          </w:p>
        </w:tc>
      </w:tr>
      <w:tr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</w:tr>
    </w:tbl>
    <w:p/>
    <w:p>
      <w:pPr>
        <w:pStyle w:val="Heading1"/>
      </w:pPr>
      <w:r>
        <w:t>5. 경쟁 분석</w:t>
      </w:r>
    </w:p>
    <w:p>
      <w:r>
        <w:rPr>
          <w:i/>
          <w:color w:val="808080"/>
          <w:sz w:val="18"/>
        </w:rPr>
        <w:t>▸ 센서·통신·가격·엣지 AI 4칸. 모르면 '확인 안 됨'.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</w:rPr>
              <w:t>유형</w:t>
            </w:r>
          </w:p>
        </w:tc>
        <w:tc>
          <w:tcPr>
            <w:tcW w:type="dxa" w:w="1928"/>
          </w:tcPr>
          <w:p>
            <w:r>
              <w:rPr>
                <w:b/>
              </w:rPr>
              <w:t>센서·기능</w:t>
            </w:r>
          </w:p>
        </w:tc>
        <w:tc>
          <w:tcPr>
            <w:tcW w:type="dxa" w:w="1928"/>
          </w:tcPr>
          <w:p>
            <w:r>
              <w:rPr>
                <w:b/>
              </w:rPr>
              <w:t>통신</w:t>
            </w:r>
          </w:p>
        </w:tc>
        <w:tc>
          <w:tcPr>
            <w:tcW w:type="dxa" w:w="1928"/>
          </w:tcPr>
          <w:p>
            <w:r>
              <w:rPr>
                <w:b/>
              </w:rPr>
              <w:t>가격 정책</w:t>
            </w:r>
          </w:p>
        </w:tc>
        <w:tc>
          <w:tcPr>
            <w:tcW w:type="dxa" w:w="1928"/>
          </w:tcPr>
          <w:p>
            <w:r>
              <w:rPr>
                <w:b/>
              </w:rPr>
              <w:t>엣지 AI</w:t>
            </w:r>
          </w:p>
        </w:tc>
      </w:tr>
      <w:tr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</w:tr>
      <w:tr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</w:tr>
      <w:tr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</w:tr>
    </w:tbl>
    <w:p/>
    <w:p>
      <w:pPr>
        <w:pStyle w:val="Heading1"/>
      </w:pPr>
      <w:r>
        <w:t>6. 수익 모델</w:t>
      </w:r>
    </w:p>
    <w:p>
      <w:r>
        <w:rPr>
          <w:i/>
          <w:color w:val="808080"/>
          <w:sz w:val="18"/>
        </w:rPr>
        <w:t>▸ 하드웨어 판매가, 구독료, 통신비를 분리해 적는다. 경쟁 제품의 '앱 무료' 대비 유료 근거를 한 줄로.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r>
              <w:rPr>
                <w:b/>
              </w:rPr>
              <w:t>수익원</w:t>
            </w:r>
          </w:p>
        </w:tc>
        <w:tc>
          <w:tcPr>
            <w:tcW w:type="dxa" w:w="2409"/>
          </w:tcPr>
          <w:p>
            <w:r>
              <w:rPr>
                <w:b/>
              </w:rPr>
              <w:t>가격(안)</w:t>
            </w:r>
          </w:p>
        </w:tc>
        <w:tc>
          <w:tcPr>
            <w:tcW w:type="dxa" w:w="2409"/>
          </w:tcPr>
          <w:p>
            <w:r>
              <w:rPr>
                <w:b/>
              </w:rPr>
              <w:t>근거</w:t>
            </w:r>
          </w:p>
        </w:tc>
        <w:tc>
          <w:tcPr>
            <w:tcW w:type="dxa" w:w="2409"/>
          </w:tcPr>
          <w:p>
            <w:r>
              <w:rPr>
                <w:b/>
              </w:rPr>
              <w:t>확인 필요</w:t>
            </w:r>
          </w:p>
        </w:tc>
      </w:tr>
      <w:tr>
        <w:tc>
          <w:tcPr>
            <w:tcW w:type="dxa" w:w="2409"/>
          </w:tcPr>
          <w:p>
            <w:r>
              <w:t>하드웨어</w:t>
            </w:r>
          </w:p>
        </w:tc>
        <w:tc>
          <w:tcPr>
            <w:tcW w:type="dxa" w:w="2409"/>
          </w:tcPr>
          <w:p>
            <w:r/>
          </w:p>
        </w:tc>
        <w:tc>
          <w:tcPr>
            <w:tcW w:type="dxa" w:w="2409"/>
          </w:tcPr>
          <w:p>
            <w:r/>
          </w:p>
        </w:tc>
        <w:tc>
          <w:tcPr>
            <w:tcW w:type="dxa" w:w="2409"/>
          </w:tcPr>
          <w:p>
            <w:r/>
          </w:p>
        </w:tc>
      </w:tr>
      <w:tr>
        <w:tc>
          <w:tcPr>
            <w:tcW w:type="dxa" w:w="2409"/>
          </w:tcPr>
          <w:p>
            <w:r>
              <w:t>구독(SaaS)</w:t>
            </w:r>
          </w:p>
        </w:tc>
        <w:tc>
          <w:tcPr>
            <w:tcW w:type="dxa" w:w="2409"/>
          </w:tcPr>
          <w:p>
            <w:r/>
          </w:p>
        </w:tc>
        <w:tc>
          <w:tcPr>
            <w:tcW w:type="dxa" w:w="2409"/>
          </w:tcPr>
          <w:p>
            <w:r/>
          </w:p>
        </w:tc>
        <w:tc>
          <w:tcPr>
            <w:tcW w:type="dxa" w:w="2409"/>
          </w:tcPr>
          <w:p>
            <w:r/>
          </w:p>
        </w:tc>
      </w:tr>
      <w:tr>
        <w:tc>
          <w:tcPr>
            <w:tcW w:type="dxa" w:w="2409"/>
          </w:tcPr>
          <w:p>
            <w:r>
              <w:t>통신</w:t>
            </w:r>
          </w:p>
        </w:tc>
        <w:tc>
          <w:tcPr>
            <w:tcW w:type="dxa" w:w="2409"/>
          </w:tcPr>
          <w:p>
            <w:r/>
          </w:p>
        </w:tc>
        <w:tc>
          <w:tcPr>
            <w:tcW w:type="dxa" w:w="2409"/>
          </w:tcPr>
          <w:p>
            <w:r/>
          </w:p>
        </w:tc>
        <w:tc>
          <w:tcPr>
            <w:tcW w:type="dxa" w:w="2409"/>
          </w:tcPr>
          <w:p>
            <w:r/>
          </w:p>
        </w:tc>
      </w:tr>
    </w:tbl>
    <w:p/>
    <w:p>
      <w:pPr>
        <w:pStyle w:val="Heading1"/>
      </w:pPr>
      <w:r>
        <w:t>7. 팀과 역량</w:t>
      </w:r>
    </w:p>
    <w:p>
      <w:r>
        <w:rPr>
          <w:i/>
          <w:color w:val="808080"/>
          <w:sz w:val="18"/>
        </w:rPr>
        <w:t>▸ 창업자 경험을 고객 문제와 1:1로 대응시킨다.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b/>
              </w:rPr>
              <w:t>경험·역량</w:t>
            </w:r>
          </w:p>
        </w:tc>
        <w:tc>
          <w:tcPr>
            <w:tcW w:type="dxa" w:w="3213"/>
          </w:tcPr>
          <w:p>
            <w:r>
              <w:rPr>
                <w:b/>
              </w:rPr>
              <w:t>대응하는 고객 문제</w:t>
            </w:r>
          </w:p>
        </w:tc>
        <w:tc>
          <w:tcPr>
            <w:tcW w:type="dxa" w:w="3213"/>
          </w:tcPr>
          <w:p>
            <w:r>
              <w:rPr>
                <w:b/>
              </w:rPr>
              <w:t>증빙</w:t>
            </w:r>
          </w:p>
        </w:tc>
      </w:tr>
      <w:tr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</w:tr>
      <w:tr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</w:tr>
    </w:tbl>
    <w:p/>
    <w:p>
      <w:pPr>
        <w:pStyle w:val="Heading1"/>
      </w:pPr>
      <w:r>
        <w:t>8. 예산과 자금 조달</w:t>
      </w:r>
    </w:p>
    <w:p>
      <w:r>
        <w:rPr>
          <w:i/>
          <w:color w:val="808080"/>
          <w:sz w:val="18"/>
        </w:rPr>
        <w:t>▸ 스케일(S0~S5) 중 현재 단계의 예산과 자금원. 보조금은 누구의 돈인지(나/고객) 구분.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r>
              <w:rPr>
                <w:b/>
              </w:rPr>
              <w:t>단계</w:t>
            </w:r>
          </w:p>
        </w:tc>
        <w:tc>
          <w:tcPr>
            <w:tcW w:type="dxa" w:w="2409"/>
          </w:tcPr>
          <w:p>
            <w:r>
              <w:rPr>
                <w:b/>
              </w:rPr>
              <w:t>금액</w:t>
            </w:r>
          </w:p>
        </w:tc>
        <w:tc>
          <w:tcPr>
            <w:tcW w:type="dxa" w:w="2409"/>
          </w:tcPr>
          <w:p>
            <w:r>
              <w:rPr>
                <w:b/>
              </w:rPr>
              <w:t>자금원</w:t>
            </w:r>
          </w:p>
        </w:tc>
        <w:tc>
          <w:tcPr>
            <w:tcW w:type="dxa" w:w="2409"/>
          </w:tcPr>
          <w:p>
            <w:r>
              <w:rPr>
                <w:b/>
              </w:rPr>
              <w:t>비용 주체</w:t>
            </w:r>
          </w:p>
        </w:tc>
      </w:tr>
      <w:tr>
        <w:tc>
          <w:tcPr>
            <w:tcW w:type="dxa" w:w="2409"/>
          </w:tcPr>
          <w:p>
            <w:r>
              <w:t>S0 PoC</w:t>
            </w:r>
          </w:p>
        </w:tc>
        <w:tc>
          <w:tcPr>
            <w:tcW w:type="dxa" w:w="2409"/>
          </w:tcPr>
          <w:p>
            <w:r/>
          </w:p>
        </w:tc>
        <w:tc>
          <w:tcPr>
            <w:tcW w:type="dxa" w:w="2409"/>
          </w:tcPr>
          <w:p>
            <w:r>
              <w:t>자기자본</w:t>
            </w:r>
          </w:p>
        </w:tc>
        <w:tc>
          <w:tcPr>
            <w:tcW w:type="dxa" w:w="2409"/>
          </w:tcPr>
          <w:p>
            <w:r>
              <w:t>나</w:t>
            </w:r>
          </w:p>
        </w:tc>
      </w:tr>
      <w:tr>
        <w:tc>
          <w:tcPr>
            <w:tcW w:type="dxa" w:w="2409"/>
          </w:tcPr>
          <w:p>
            <w:r>
              <w:t>S1 시범양산</w:t>
            </w:r>
          </w:p>
        </w:tc>
        <w:tc>
          <w:tcPr>
            <w:tcW w:type="dxa" w:w="2409"/>
          </w:tcPr>
          <w:p>
            <w:r/>
          </w:p>
        </w:tc>
        <w:tc>
          <w:tcPr>
            <w:tcW w:type="dxa" w:w="2409"/>
          </w:tcPr>
          <w:p>
            <w:r/>
          </w:p>
        </w:tc>
        <w:tc>
          <w:tcPr>
            <w:tcW w:type="dxa" w:w="2409"/>
          </w:tcPr>
          <w:p>
            <w:r/>
          </w:p>
        </w:tc>
      </w:tr>
    </w:tbl>
    <w:p/>
    <w:p>
      <w:pPr>
        <w:pStyle w:val="Heading1"/>
      </w:pPr>
      <w:r>
        <w:t>9. 일정(마일스톤)</w:t>
      </w:r>
    </w:p>
    <w:p>
      <w:r>
        <w:rPr>
          <w:i/>
          <w:color w:val="808080"/>
          <w:sz w:val="18"/>
        </w:rPr>
        <w:t>▸ Phase별 완료 판단 기준을 '관찰 가능한 결과'로 적는다.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r>
              <w:rPr>
                <w:b/>
              </w:rPr>
              <w:t>기간</w:t>
            </w:r>
          </w:p>
        </w:tc>
        <w:tc>
          <w:tcPr>
            <w:tcW w:type="dxa" w:w="2409"/>
          </w:tcPr>
          <w:p>
            <w:r>
              <w:rPr>
                <w:b/>
              </w:rPr>
              <w:t>Phase</w:t>
            </w:r>
          </w:p>
        </w:tc>
        <w:tc>
          <w:tcPr>
            <w:tcW w:type="dxa" w:w="2409"/>
          </w:tcPr>
          <w:p>
            <w:r>
              <w:rPr>
                <w:b/>
              </w:rPr>
              <w:t>산출물</w:t>
            </w:r>
          </w:p>
        </w:tc>
        <w:tc>
          <w:tcPr>
            <w:tcW w:type="dxa" w:w="2409"/>
          </w:tcPr>
          <w:p>
            <w:r>
              <w:rPr>
                <w:b/>
              </w:rPr>
              <w:t>완료 판단 기준</w:t>
            </w:r>
          </w:p>
        </w:tc>
      </w:tr>
      <w:tr>
        <w:tc>
          <w:tcPr>
            <w:tcW w:type="dxa" w:w="2409"/>
          </w:tcPr>
          <w:p>
            <w:r>
              <w:t>Year 1</w:t>
            </w:r>
          </w:p>
        </w:tc>
        <w:tc>
          <w:tcPr>
            <w:tcW w:type="dxa" w:w="2409"/>
          </w:tcPr>
          <w:p>
            <w:r>
              <w:t>0~2</w:t>
            </w:r>
          </w:p>
        </w:tc>
        <w:tc>
          <w:tcPr>
            <w:tcW w:type="dxa" w:w="2409"/>
          </w:tcPr>
          <w:p>
            <w:r/>
          </w:p>
        </w:tc>
        <w:tc>
          <w:tcPr>
            <w:tcW w:type="dxa" w:w="2409"/>
          </w:tcPr>
          <w:p>
            <w:r/>
          </w:p>
        </w:tc>
      </w:tr>
      <w:tr>
        <w:tc>
          <w:tcPr>
            <w:tcW w:type="dxa" w:w="2409"/>
          </w:tcPr>
          <w:p>
            <w:r>
              <w:t>Year 2</w:t>
            </w:r>
          </w:p>
        </w:tc>
        <w:tc>
          <w:tcPr>
            <w:tcW w:type="dxa" w:w="2409"/>
          </w:tcPr>
          <w:p>
            <w:r>
              <w:t>3~4</w:t>
            </w:r>
          </w:p>
        </w:tc>
        <w:tc>
          <w:tcPr>
            <w:tcW w:type="dxa" w:w="2409"/>
          </w:tcPr>
          <w:p>
            <w:r/>
          </w:p>
        </w:tc>
        <w:tc>
          <w:tcPr>
            <w:tcW w:type="dxa" w:w="2409"/>
          </w:tcPr>
          <w:p>
            <w:r/>
          </w:p>
        </w:tc>
      </w:tr>
      <w:tr>
        <w:tc>
          <w:tcPr>
            <w:tcW w:type="dxa" w:w="2409"/>
          </w:tcPr>
          <w:p>
            <w:r>
              <w:t>Year 3</w:t>
            </w:r>
          </w:p>
        </w:tc>
        <w:tc>
          <w:tcPr>
            <w:tcW w:type="dxa" w:w="2409"/>
          </w:tcPr>
          <w:p>
            <w:r>
              <w:t>5~6</w:t>
            </w:r>
          </w:p>
        </w:tc>
        <w:tc>
          <w:tcPr>
            <w:tcW w:type="dxa" w:w="2409"/>
          </w:tcPr>
          <w:p>
            <w:r/>
          </w:p>
        </w:tc>
        <w:tc>
          <w:tcPr>
            <w:tcW w:type="dxa" w:w="2409"/>
          </w:tcPr>
          <w:p>
            <w:r/>
          </w:p>
        </w:tc>
      </w:tr>
    </w:tbl>
    <w:p/>
    <w:p>
      <w:pPr>
        <w:pStyle w:val="Heading1"/>
      </w:pPr>
      <w:r>
        <w:t>10. 리스크와 대응</w:t>
      </w:r>
    </w:p>
    <w:p>
      <w:r>
        <w:rPr>
          <w:i/>
          <w:color w:val="808080"/>
          <w:sz w:val="18"/>
        </w:rPr>
        <w:t>▸ 기술·시장·정책·자원 리스크를 각각 1개 이상.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r>
              <w:rPr>
                <w:b/>
              </w:rPr>
              <w:t>구분</w:t>
            </w:r>
          </w:p>
        </w:tc>
        <w:tc>
          <w:tcPr>
            <w:tcW w:type="dxa" w:w="2409"/>
          </w:tcPr>
          <w:p>
            <w:r>
              <w:rPr>
                <w:b/>
              </w:rPr>
              <w:t>리스크</w:t>
            </w:r>
          </w:p>
        </w:tc>
        <w:tc>
          <w:tcPr>
            <w:tcW w:type="dxa" w:w="2409"/>
          </w:tcPr>
          <w:p>
            <w:r>
              <w:rPr>
                <w:b/>
              </w:rPr>
              <w:t>가능성</w:t>
            </w:r>
          </w:p>
        </w:tc>
        <w:tc>
          <w:tcPr>
            <w:tcW w:type="dxa" w:w="2409"/>
          </w:tcPr>
          <w:p>
            <w:r>
              <w:rPr>
                <w:b/>
              </w:rPr>
              <w:t>대응</w:t>
            </w:r>
          </w:p>
        </w:tc>
      </w:tr>
      <w:tr>
        <w:tc>
          <w:tcPr>
            <w:tcW w:type="dxa" w:w="2409"/>
          </w:tcPr>
          <w:p>
            <w:r>
              <w:t>기술</w:t>
            </w:r>
          </w:p>
        </w:tc>
        <w:tc>
          <w:tcPr>
            <w:tcW w:type="dxa" w:w="2409"/>
          </w:tcPr>
          <w:p>
            <w:r/>
          </w:p>
        </w:tc>
        <w:tc>
          <w:tcPr>
            <w:tcW w:type="dxa" w:w="2409"/>
          </w:tcPr>
          <w:p>
            <w:r/>
          </w:p>
        </w:tc>
        <w:tc>
          <w:tcPr>
            <w:tcW w:type="dxa" w:w="2409"/>
          </w:tcPr>
          <w:p>
            <w:r/>
          </w:p>
        </w:tc>
      </w:tr>
      <w:tr>
        <w:tc>
          <w:tcPr>
            <w:tcW w:type="dxa" w:w="2409"/>
          </w:tcPr>
          <w:p>
            <w:r>
              <w:t>시장</w:t>
            </w:r>
          </w:p>
        </w:tc>
        <w:tc>
          <w:tcPr>
            <w:tcW w:type="dxa" w:w="2409"/>
          </w:tcPr>
          <w:p>
            <w:r/>
          </w:p>
        </w:tc>
        <w:tc>
          <w:tcPr>
            <w:tcW w:type="dxa" w:w="2409"/>
          </w:tcPr>
          <w:p>
            <w:r/>
          </w:p>
        </w:tc>
        <w:tc>
          <w:tcPr>
            <w:tcW w:type="dxa" w:w="2409"/>
          </w:tcPr>
          <w:p>
            <w:r/>
          </w:p>
        </w:tc>
      </w:tr>
      <w:tr>
        <w:tc>
          <w:tcPr>
            <w:tcW w:type="dxa" w:w="2409"/>
          </w:tcPr>
          <w:p>
            <w:r>
              <w:t>정책</w:t>
            </w:r>
          </w:p>
        </w:tc>
        <w:tc>
          <w:tcPr>
            <w:tcW w:type="dxa" w:w="2409"/>
          </w:tcPr>
          <w:p>
            <w:r/>
          </w:p>
        </w:tc>
        <w:tc>
          <w:tcPr>
            <w:tcW w:type="dxa" w:w="2409"/>
          </w:tcPr>
          <w:p>
            <w:r/>
          </w:p>
        </w:tc>
        <w:tc>
          <w:tcPr>
            <w:tcW w:type="dxa" w:w="2409"/>
          </w:tcPr>
          <w:p>
            <w:r/>
          </w:p>
        </w:tc>
      </w:tr>
      <w:tr>
        <w:tc>
          <w:tcPr>
            <w:tcW w:type="dxa" w:w="2409"/>
          </w:tcPr>
          <w:p>
            <w:r>
              <w:t>자원</w:t>
            </w:r>
          </w:p>
        </w:tc>
        <w:tc>
          <w:tcPr>
            <w:tcW w:type="dxa" w:w="2409"/>
          </w:tcPr>
          <w:p>
            <w:r/>
          </w:p>
        </w:tc>
        <w:tc>
          <w:tcPr>
            <w:tcW w:type="dxa" w:w="2409"/>
          </w:tcPr>
          <w:p>
            <w:r/>
          </w:p>
        </w:tc>
        <w:tc>
          <w:tcPr>
            <w:tcW w:type="dxa" w:w="2409"/>
          </w:tcPr>
          <w:p>
            <w:r/>
          </w:p>
        </w:tc>
      </w:tr>
    </w:tbl>
    <w:p/>
    <w:p>
      <w:pPr>
        <w:pStyle w:val="Heading1"/>
      </w:pPr>
      <w:r>
        <w:t>11. 확인 필요 항목</w:t>
      </w:r>
    </w:p>
    <w:p>
      <w:r>
        <w:rPr>
          <w:i/>
          <w:color w:val="808080"/>
          <w:sz w:val="18"/>
        </w:rPr>
        <w:t>▸ 추정으로 채우지 않은 값의 목록. 확인처와 목표일을 함께.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r>
              <w:rPr>
                <w:b/>
              </w:rPr>
              <w:t>항목</w:t>
            </w:r>
          </w:p>
        </w:tc>
        <w:tc>
          <w:tcPr>
            <w:tcW w:type="dxa" w:w="2409"/>
          </w:tcPr>
          <w:p>
            <w:r>
              <w:rPr>
                <w:b/>
              </w:rPr>
              <w:t>현재 상태</w:t>
            </w:r>
          </w:p>
        </w:tc>
        <w:tc>
          <w:tcPr>
            <w:tcW w:type="dxa" w:w="2409"/>
          </w:tcPr>
          <w:p>
            <w:r>
              <w:rPr>
                <w:b/>
              </w:rPr>
              <w:t>확인처</w:t>
            </w:r>
          </w:p>
        </w:tc>
        <w:tc>
          <w:tcPr>
            <w:tcW w:type="dxa" w:w="2409"/>
          </w:tcPr>
          <w:p>
            <w:r>
              <w:rPr>
                <w:b/>
              </w:rPr>
              <w:t>목표일</w:t>
            </w:r>
          </w:p>
        </w:tc>
      </w:tr>
      <w:tr>
        <w:tc>
          <w:tcPr>
            <w:tcW w:type="dxa" w:w="2409"/>
          </w:tcPr>
          <w:p>
            <w:r/>
          </w:p>
        </w:tc>
        <w:tc>
          <w:tcPr>
            <w:tcW w:type="dxa" w:w="2409"/>
          </w:tcPr>
          <w:p>
            <w:r/>
          </w:p>
        </w:tc>
        <w:tc>
          <w:tcPr>
            <w:tcW w:type="dxa" w:w="2409"/>
          </w:tcPr>
          <w:p>
            <w:r/>
          </w:p>
        </w:tc>
        <w:tc>
          <w:tcPr>
            <w:tcW w:type="dxa" w:w="2409"/>
          </w:tcPr>
          <w:p>
            <w:r/>
          </w:p>
        </w:tc>
      </w:tr>
      <w:tr>
        <w:tc>
          <w:tcPr>
            <w:tcW w:type="dxa" w:w="2409"/>
          </w:tcPr>
          <w:p>
            <w:r/>
          </w:p>
        </w:tc>
        <w:tc>
          <w:tcPr>
            <w:tcW w:type="dxa" w:w="2409"/>
          </w:tcPr>
          <w:p>
            <w:r/>
          </w:p>
        </w:tc>
        <w:tc>
          <w:tcPr>
            <w:tcW w:type="dxa" w:w="2409"/>
          </w:tcPr>
          <w:p>
            <w:r/>
          </w:p>
        </w:tc>
        <w:tc>
          <w:tcPr>
            <w:tcW w:type="dxa" w:w="2409"/>
          </w:tcPr>
          <w:p>
            <w:r/>
          </w:p>
        </w:tc>
      </w:tr>
      <w:tr>
        <w:tc>
          <w:tcPr>
            <w:tcW w:type="dxa" w:w="2409"/>
          </w:tcPr>
          <w:p>
            <w:r/>
          </w:p>
        </w:tc>
        <w:tc>
          <w:tcPr>
            <w:tcW w:type="dxa" w:w="2409"/>
          </w:tcPr>
          <w:p>
            <w:r/>
          </w:p>
        </w:tc>
        <w:tc>
          <w:tcPr>
            <w:tcW w:type="dxa" w:w="2409"/>
          </w:tcPr>
          <w:p>
            <w:r/>
          </w:p>
        </w:tc>
        <w:tc>
          <w:tcPr>
            <w:tcW w:type="dxa" w:w="2409"/>
          </w:tcPr>
          <w:p>
            <w:r/>
          </w:p>
        </w:tc>
      </w:tr>
    </w:tbl>
    <w:p/>
    <w:p>
      <w:pPr>
        <w:pStyle w:val="Heading1"/>
      </w:pPr>
      <w:r>
        <w:t>부록. 제출 전 점검</w:t>
      </w:r>
    </w:p>
    <w:p>
      <w:r>
        <w:t>☐ 모든 수치에 출처와 기준연도가 있다</w:t>
      </w:r>
    </w:p>
    <w:p>
      <w:r>
        <w:t>☐ 2차 자료로 찾은 정책 수치를 원문 공고로 대조했다</w:t>
      </w:r>
    </w:p>
    <w:p>
      <w:r>
        <w:t>☐ '확인 필요' 항목을 숨기지 않고 11장에 모았다</w:t>
      </w:r>
    </w:p>
    <w:p>
      <w:r>
        <w:t>☐ 불리한 사실(경쟁 제품 무료 앱 등)을 1개 이상 적었다</w:t>
      </w:r>
    </w:p>
    <w:p>
      <w:r>
        <w:t>☐ 특허 관련 판단은 변리사 검토 전임을 명시했다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KoPubWorld돋움체 Pro Light" w:hAnsi="KoPubWorld돋움체 Pro Light" w:eastAsia="KoPubWorld돋움체 Pro Light" w:cs="KoPubWorld돋움체 Pro Light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KoPubWorld돋움체 Pro Light" w:hAnsi="KoPubWorld돋움체 Pro Light" w:eastAsia="KoPubWorld돋움체 Pro Light" w:cs="KoPubWorld돋움체 Pro Light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KoPubWorld돋움체 Pro Light" w:hAnsi="KoPubWorld돋움체 Pro Light" w:eastAsia="KoPubWorld돋움체 Pro Light" w:cs="KoPubWorld돋움체 Pro Light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KoPubWorld돋움체 Pro Light" w:hAnsi="KoPubWorld돋움체 Pro Light" w:eastAsia="KoPubWorld돋움체 Pro Light" w:cs="KoPubWorld돋움체 Pro Light"/>
      <w:b/>
      <w:bCs/>
      <w:color w:val="B45F0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KoPubWorld돋움체 Pro Light" w:hAnsi="KoPubWorld돋움체 Pro Light" w:eastAsia="KoPubWorld돋움체 Pro Light" w:cs="KoPubWorld돋움체 Pro Light"/>
      <w:b/>
      <w:bCs/>
      <w:color w:val="B45F0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KoPubWorld돋움체 Pro Light" w:hAnsi="KoPubWorld돋움체 Pro Light" w:eastAsia="KoPubWorld돋움체 Pro Light" w:cs="KoPubWorld돋움체 Pro Light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KoPubWorld돋움체 Pro Light" w:hAnsi="KoPubWorld돋움체 Pro Light" w:eastAsia="KoPubWorld돋움체 Pro Light" w:cs="KoPubWorld돋움체 Pro Light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KoPubWorld돋움체 Pro Light" w:hAnsi="KoPubWorld돋움체 Pro Light" w:eastAsia="KoPubWorld돋움체 Pro Light" w:cs="KoPubWorld돋움체 Pro Light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KoPubWorld돋움체 Pro Light" w:hAnsi="KoPubWorld돋움체 Pro Light" w:eastAsia="KoPubWorld돋움체 Pro Light" w:cs="KoPubWorld돋움체 Pro Light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KoPubWorld돋움체 Pro Light" w:hAnsi="KoPubWorld돋움체 Pro Light" w:eastAsia="KoPubWorld돋움체 Pro Light" w:cs="KoPubWorld돋움체 Pro Light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KoPubWorld돋움체 Pro Light" w:hAnsi="KoPubWorld돋움체 Pro Light" w:eastAsia="KoPubWorld돋움체 Pro Light" w:cs="KoPubWorld돋움체 Pro Light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KoPubWorld돋움체 Pro Light" w:hAnsi="KoPubWorld돋움체 Pro Light" w:eastAsia="KoPubWorld돋움체 Pro Light" w:cs="KoPubWorld돋움체 Pro Light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KoPubWorld돋움체 Pro Light" w:hAnsi="KoPubWorld돋움체 Pro Light" w:eastAsia="KoPubWorld돋움체 Pro Light" w:cs="KoPubWorld돋움체 Pro Light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KoPubWorld돋움체 Pro Light" w:hAnsi="KoPubWorld돋움체 Pro Light" w:eastAsia="KoPubWorld돋움체 Pro Light" w:cs="KoPubWorld돋움체 Pro Light"/>
      <w:color w:val="B45F04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KoPubWorld돋움체 Pro Light" w:hAnsi="KoPubWorld돋움체 Pro Light" w:eastAsia="KoPubWorld돋움체 Pro Light" w:cs="KoPubWorld돋움체 Pro Light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KoPubWorld돋움체 Pro Light" w:hAnsi="KoPubWorld돋움체 Pro Light" w:eastAsia="KoPubWorld돋움체 Pro Light" w:cs="KoPubWorld돋움체 Pro Light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KoPubWorld돋움체 Pro Light" w:hAnsi="KoPubWorld돋움체 Pro Light" w:eastAsia="KoPubWorld돋움체 Pro Light" w:cs="KoPubWorld돋움체 Pro Light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KoPubWorld돋움체 Pro Light" w:hAnsi="KoPubWorld돋움체 Pro Light" w:eastAsia="KoPubWorld돋움체 Pro Light" w:cs="KoPubWorld돋움체 Pro Light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KoPubWorld돋움체 Pro Light" w:hAnsi="KoPubWorld돋움체 Pro Light" w:eastAsia="KoPubWorld돋움체 Pro Light" w:cs="KoPubWorld돋움체 Pro Light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KoPubWorld돋움체 Pro Light" w:hAnsi="KoPubWorld돋움체 Pro Light" w:eastAsia="KoPubWorld돋움체 Pro Light" w:cs="KoPubWorld돋움체 Pro Light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KoPubWorld돋움체 Pro Light" w:hAnsi="KoPubWorld돋움체 Pro Light" w:eastAsia="KoPubWorld돋움체 Pro Light" w:cs="KoPubWorld돋움체 Pro Light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KoPubWorld돋움체 Pro Light" w:hAnsi="KoPubWorld돋움체 Pro Light" w:eastAsia="KoPubWorld돋움체 Pro Light" w:cs="KoPubWorld돋움체 Pro Light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KoPubWorld돋움체 Pro Light" w:hAnsi="KoPubWorld돋움체 Pro Light" w:eastAsia="KoPubWorld돋움체 Pro Light" w:cs="KoPubWorld돋움체 Pro Light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KoPubWorld돋움체 Pro Light" w:hAnsi="KoPubWorld돋움체 Pro Light" w:eastAsia="KoPubWorld돋움체 Pro Light" w:cs="KoPubWorld돋움체 Pro Light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KoPubWorld돋움체 Pro Light" w:hAnsi="KoPubWorld돋움체 Pro Light" w:eastAsia="KoPubWorld돋움체 Pro Light" w:cs="KoPubWorld돋움체 Pro Light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KoPubWorld돋움체 Pro Light" w:hAnsi="KoPubWorld돋움체 Pro Light" w:eastAsia="KoPubWorld돋움체 Pro Light" w:cs="KoPubWorld돋움체 Pro Light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KoPubWorld돋움체 Pro Light" w:hAnsi="KoPubWorld돋움체 Pro Light" w:eastAsia="KoPubWorld돋움체 Pro Light" w:cs="KoPubWorld돋움체 Pro Light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KoPubWorld돋움체 Pro Light" w:hAnsi="KoPubWorld돋움체 Pro Light" w:eastAsia="KoPubWorld돋움체 Pro Light" w:cs="KoPubWorld돋움체 Pro Light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KoPubWorld돋움체 Pro Light" w:hAnsi="KoPubWorld돋움체 Pro Light" w:eastAsia="KoPubWorld돋움체 Pro Light" w:cs="KoPubWorld돋움체 Pro Light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KoPubWorld돋움체 Pro Light" w:hAnsi="KoPubWorld돋움체 Pro Light" w:eastAsia="KoPubWorld돋움체 Pro Light" w:cs="KoPubWorld돋움체 Pro Light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KoPubWorld돋움체 Pro Light" w:hAnsi="KoPubWorld돋움체 Pro Light" w:eastAsia="KoPubWorld돋움체 Pro Light" w:cs="KoPubWorld돋움체 Pro Light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KoPubWorld돋움체 Pro Light" w:hAnsi="KoPubWorld돋움체 Pro Light" w:eastAsia="KoPubWorld돋움체 Pro Light" w:cs="KoPubWorld돋움체 Pro Light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KoPubWorld돋움체 Pro Light" w:hAnsi="KoPubWorld돋움체 Pro Light" w:eastAsia="KoPubWorld돋움체 Pro Light" w:cs="KoPubWorld돋움체 Pro Light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KoPubWorld돋움체 Pro Light" w:hAnsi="KoPubWorld돋움체 Pro Light" w:eastAsia="KoPubWorld돋움체 Pro Light" w:cs="KoPubWorld돋움체 Pro Light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KoPubWorld돋움체 Pro Light" w:hAnsi="KoPubWorld돋움체 Pro Light" w:eastAsia="KoPubWorld돋움체 Pro Light" w:cs="KoPubWorld돋움체 Pro Light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KoPubWorld돋움체 Pro Light" w:hAnsi="KoPubWorld돋움체 Pro Light" w:eastAsia="KoPubWorld돋움체 Pro Light" w:cs="KoPubWorld돋움체 Pro Light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